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 número mais alto raramente é o mais confiável: uma bateria de testes de falsificação para alegações de aprendizado de máquina em saúde</w:t>
      </w:r>
    </w:p>
    <w:p>
      <w:pPr>
        <w:jc w:val="left"/>
      </w:pPr>
      <w:r>
        <w:rPr>
          <w:b w:val="0"/>
          <w:i/>
        </w:rPr>
        <w:t>Estudo transversal pré-registrado em três modalidades</w:t>
      </w:r>
    </w:p>
    <w:p>
      <w:pPr>
        <w:jc w:val="left"/>
      </w:pPr>
      <w:r>
        <w:rPr>
          <w:b/>
          <w:i w:val="0"/>
        </w:rPr>
        <w:t>Leandro Souza Anselmo — Medicina, Pedro Juan Caballero, Paraguai</w:t>
      </w:r>
    </w:p>
    <w:p>
      <w:pPr>
        <w:jc w:val="left"/>
      </w:pPr>
      <w:r>
        <w:rPr>
          <w:b/>
          <w:i w:val="0"/>
          <w:color w:val="8A6D00"/>
        </w:rPr>
        <w:t>RASCUNHO — versão de trabalho. Gerado a partir dos artefatos de resultado; números não transcritos à mão. Referências preliminares, a conferir antes de submeter.</w:t>
      </w:r>
    </w:p>
    <w:p>
      <w:pPr>
        <w:pStyle w:val="Heading1"/>
      </w:pPr>
      <w:r>
        <w:t>Resumo</w:t>
      </w:r>
    </w:p>
    <w:p>
      <w:pPr>
        <w:jc w:val="both"/>
      </w:pPr>
      <w:r>
        <w:rPr>
          <w:b/>
          <w:i w:val="0"/>
        </w:rPr>
        <w:t>Contexto.</w:t>
      </w:r>
      <w:r>
        <w:rPr>
          <w:b w:val="0"/>
          <w:i w:val="0"/>
        </w:rPr>
        <w:t xml:space="preserve"> Alegações de desempenho em aprendizado de máquina aplicado à saúde são publicadas majoritariamente com métricas de discriminação obtidas na mesma fonte de dados em que o modelo foi treinado. Vazamento entre partições, aprendizado de atalho e extrapolação para fora do domínio de aplicabilidade são reconhecidos como ameaças, mas raramente são testados de forma explícita — e quase nunca se publica o teste que teria derrubado o próprio resultado.</w:t>
      </w:r>
    </w:p>
    <w:p>
      <w:pPr>
        <w:jc w:val="both"/>
      </w:pPr>
      <w:r>
        <w:rPr>
          <w:b/>
          <w:i w:val="0"/>
        </w:rPr>
        <w:t>Objetivo.</w:t>
      </w:r>
      <w:r>
        <w:rPr>
          <w:b w:val="0"/>
          <w:i w:val="0"/>
        </w:rPr>
        <w:t xml:space="preserve"> Avaliar se uma bateria mínima e portátil de testes de falsificação, aplicável em CPU e sem retreinar modelos, distingue resultados confiáveis de resultados aparentemente fortes em três modalidades distintas.</w:t>
      </w:r>
    </w:p>
    <w:p>
      <w:pPr>
        <w:jc w:val="both"/>
      </w:pPr>
      <w:r>
        <w:rPr>
          <w:b/>
          <w:i w:val="0"/>
        </w:rPr>
        <w:t>Métodos.</w:t>
      </w:r>
      <w:r>
        <w:rPr>
          <w:b w:val="0"/>
          <w:i w:val="0"/>
        </w:rPr>
        <w:t xml:space="preserve"> Estudo transversal com pré-registro escrito antes da execução, abrangendo três projetos independentes: predição de atividade antibacteriana contra </w:t>
      </w:r>
      <w:r>
        <w:rPr>
          <w:b w:val="0"/>
          <w:i/>
        </w:rPr>
        <w:t>Staphylococcus aureus</w:t>
      </w:r>
      <w:r>
        <w:rPr>
          <w:b w:val="0"/>
          <w:i w:val="0"/>
        </w:rPr>
        <w:t xml:space="preserve"> (46001 moléculas), classificação de tuberculose e pneumonia em radiografia de tórax (800 e 5856 imagens) e predição de sepse em terapia intensiva (40.336 pacientes, 1.552.210 horas). A bateria compreende: validação externa por fonte nos dois sentidos; oclusão anatômica; verificação de composição da lista de candidatos com teto de similaridade; PR-AUC interpretada contra a prevalência; e comparação pareada entre alternativas com intervalo de confiança por reamostragem da unidade de observação.</w:t>
      </w:r>
    </w:p>
    <w:p>
      <w:pPr>
        <w:jc w:val="both"/>
      </w:pPr>
      <w:r>
        <w:rPr>
          <w:b/>
          <w:i w:val="0"/>
        </w:rPr>
        <w:t>Resultados.</w:t>
      </w:r>
      <w:r>
        <w:rPr>
          <w:b w:val="0"/>
          <w:i w:val="0"/>
        </w:rPr>
        <w:t xml:space="preserve"> Em cada um dos três projetos, o maior número de desempenho e o resultado mais confiável não coincidiram. A classificação de pneumonia atingiu ROC-AUC 0,9946 ± 0,0023 e manteve 0,8305 com o campo pulmonar ocluído, indicando atalho. A triagem molecular produziu 17 candidatos aprovados nos três critérios pré-declarados, dos quais 11 de 17 pertencem a classes antibióticas conhecidas, com Tanimoto mediano de 0,832 ao conjunto de treino. A predição de sepse atingiu ROC-AUC 0,8450 com PR-AUC 0,1137 sobre prevalência horária de 1,80%, e não emitiu alerta algum para 691 de 2932 pacientes sépticos. A classificação de tuberculose funcionou como controle positivo: ROC-AUC intra-fonte 0,9078 ± 0,0356, queda para 0,6566 sob oclusão e média de 0,8145 em validação externa.</w:t>
      </w:r>
    </w:p>
    <w:p>
      <w:pPr>
        <w:jc w:val="both"/>
      </w:pPr>
      <w:r>
        <w:rPr>
          <w:b/>
          <w:i w:val="0"/>
        </w:rPr>
        <w:t>Conclusão.</w:t>
      </w:r>
      <w:r>
        <w:rPr>
          <w:b w:val="0"/>
          <w:i w:val="0"/>
        </w:rPr>
        <w:t xml:space="preserve"> A bateria identificou como frágeis dois resultados que pareceriam publicáveis pelas métricas convencionais e preservou um terceiro. O custo computacional é desprezível frente ao do treinamento. Propomos que testes de falsificação, com relato obrigatório dos que falham, integrem o requisito mínimo de alegações de desempenho em saúde.</w:t>
      </w:r>
    </w:p>
    <w:p>
      <w:pPr>
        <w:jc w:val="both"/>
      </w:pPr>
      <w:r>
        <w:rPr>
          <w:b/>
          <w:i w:val="0"/>
        </w:rPr>
        <w:t>Palavras-chave:</w:t>
      </w:r>
      <w:r>
        <w:rPr>
          <w:b w:val="0"/>
          <w:i w:val="0"/>
        </w:rPr>
        <w:t xml:space="preserve"> aprendizado de máquina; reprodutibilidade; validação externa; aprendizado de atalho; domínio de aplicabilidade; pré-registro.</w:t>
      </w:r>
    </w:p>
    <w:p>
      <w:pPr>
        <w:pStyle w:val="Heading1"/>
      </w:pPr>
      <w:r>
        <w:t>1. Introdução</w:t>
      </w:r>
    </w:p>
    <w:p>
      <w:pPr>
        <w:jc w:val="both"/>
      </w:pPr>
      <w:r>
        <w:rPr>
          <w:b w:val="0"/>
          <w:i w:val="0"/>
        </w:rPr>
        <w:t>A literatura de aprendizado de máquina em saúde cresce mais rápido do que a capacidade de replicá-la. Revisões sistemáticas têm apontado que a maioria dos modelos publicados relata apenas métricas de discriminação obtidas por validação cruzada na mesma fonte de dados usada no treinamento, sem avaliação em fonte independente e sem exame das razões pelas quais o modelo acerta.</w:t>
      </w:r>
    </w:p>
    <w:p>
      <w:pPr>
        <w:jc w:val="both"/>
      </w:pPr>
      <w:r>
        <w:rPr>
          <w:b w:val="0"/>
          <w:i w:val="0"/>
        </w:rPr>
        <w:t xml:space="preserve">Três ameaças são especialmente frequentes. O </w:t>
      </w:r>
      <w:r>
        <w:rPr>
          <w:b/>
          <w:i w:val="0"/>
        </w:rPr>
        <w:t>vazamento</w:t>
      </w:r>
      <w:r>
        <w:rPr>
          <w:b w:val="0"/>
          <w:i w:val="0"/>
        </w:rPr>
        <w:t xml:space="preserve"> ocorre quando informação do conjunto de teste influencia o treinamento — por partição que separa imagens em vez de pacientes, por análogos quase idênticos distribuídos entre as partições, ou por decisões de pré-processamento tomadas sobre o conjunto completo. O </w:t>
      </w:r>
      <w:r>
        <w:rPr>
          <w:b/>
          <w:i w:val="0"/>
        </w:rPr>
        <w:t>aprendizado de atalho</w:t>
      </w:r>
      <w:r>
        <w:rPr>
          <w:b w:val="0"/>
          <w:i w:val="0"/>
        </w:rPr>
        <w:t xml:space="preserve"> ocorre quando o modelo encontra um sinal correlacionado ao desfecho porém irrelevante para ele, como marcações de equipamento ou características de aquisição. A </w:t>
      </w:r>
      <w:r>
        <w:rPr>
          <w:b/>
          <w:i w:val="0"/>
        </w:rPr>
        <w:t>extrapolação para fora do domínio de aplicabilidade</w:t>
      </w:r>
      <w:r>
        <w:rPr>
          <w:b w:val="0"/>
          <w:i w:val="0"/>
        </w:rPr>
        <w:t xml:space="preserve"> ocorre quando a predição é emitida para observações dissimilares de tudo que o modelo viu.</w:t>
      </w:r>
    </w:p>
    <w:p>
      <w:pPr>
        <w:jc w:val="both"/>
      </w:pPr>
      <w:r>
        <w:rPr>
          <w:b w:val="0"/>
          <w:i w:val="0"/>
        </w:rPr>
        <w:t xml:space="preserve">Essas ameaças são bem descritas; o que falta é prática de rotina para testá-las. Duas lacunas nos parecem centrais. A primeira é a ausência de </w:t>
      </w:r>
      <w:r>
        <w:rPr>
          <w:b/>
          <w:i w:val="0"/>
        </w:rPr>
        <w:t>testes de derrubada</w:t>
      </w:r>
      <w:r>
        <w:rPr>
          <w:b w:val="0"/>
          <w:i w:val="0"/>
        </w:rPr>
        <w:t xml:space="preserve"> — procedimentos desenhados para invalidar a própria alegação, cujo resultado é publicado independentemente de confirmar ou refutar. A segunda é a ausência de </w:t>
      </w:r>
      <w:r>
        <w:rPr>
          <w:b/>
          <w:i w:val="0"/>
        </w:rPr>
        <w:t>controle positivo</w:t>
      </w:r>
      <w:r>
        <w:rPr>
          <w:b w:val="0"/>
          <w:i w:val="0"/>
        </w:rPr>
        <w:t>: quando uma bateria de verificação reprova todos os casos examinados, não é possível distinguir entre um campo frágil e uma bateria excessivamente severa.</w:t>
      </w:r>
    </w:p>
    <w:p>
      <w:pPr>
        <w:jc w:val="both"/>
      </w:pPr>
      <w:r>
        <w:rPr>
          <w:b w:val="0"/>
          <w:i w:val="0"/>
        </w:rPr>
        <w:t xml:space="preserve">Este trabalho aplica uma bateria mínima a três projetos conduzidos em paralelo, em modalidades distintas — moléculas, imagem e série temporal clínica —, com pré-registro escrito antes da execução. A tese que emerge é única e verificável: </w:t>
      </w:r>
      <w:r>
        <w:rPr>
          <w:b/>
          <w:i w:val="0"/>
        </w:rPr>
        <w:t>em todos os três, o maior número de desempenho e o resultado mais confiável não coincidiram</w:t>
      </w:r>
      <w:r>
        <w:rPr>
          <w:b w:val="0"/>
          <w:i w:val="0"/>
        </w:rPr>
        <w:t>. A contribuição pretendida não é o catálogo de erros, e sim a bateria como instrumento reutilizável.</w:t>
      </w:r>
    </w:p>
    <w:p>
      <w:pPr>
        <w:pStyle w:val="Heading1"/>
      </w:pPr>
      <w:r>
        <w:t>2. Métodos</w:t>
      </w:r>
    </w:p>
    <w:p>
      <w:pPr>
        <w:pStyle w:val="Heading2"/>
      </w:pPr>
      <w:r>
        <w:t>2.1 Pré-registro e registro de desvios</w:t>
      </w:r>
    </w:p>
    <w:p>
      <w:pPr>
        <w:jc w:val="both"/>
      </w:pPr>
      <w:r>
        <w:rPr>
          <w:b w:val="0"/>
          <w:i w:val="0"/>
        </w:rPr>
        <w:t>As frentes de análise dos três projetos foram declaradas por escrito antes da execução, incluindo as métricas, as regras de partição e a regra de parada. O documento de pré-registro foi mantido sob controle de versão e as alterações posteriores foram acrescentadas como emendas datadas, preservando o texto original.</w:t>
      </w:r>
    </w:p>
    <w:p>
      <w:pPr>
        <w:jc w:val="both"/>
      </w:pPr>
      <w:r>
        <w:rPr>
          <w:b w:val="0"/>
          <w:i w:val="0"/>
        </w:rPr>
        <w:t xml:space="preserve">O relato de desvios é parte do resultado. Registramos </w:t>
      </w:r>
      <w:r>
        <w:rPr>
          <w:b/>
          <w:i w:val="0"/>
        </w:rPr>
        <w:t>seis</w:t>
      </w:r>
      <w:r>
        <w:rPr>
          <w:b w:val="0"/>
          <w:i w:val="0"/>
        </w:rPr>
        <w:t xml:space="preserve"> itens pré-declarados que não foram executados (com a justificativa de cada um, predominantemente limite de disco ou de credenciamento de acesso), </w:t>
      </w:r>
      <w:r>
        <w:rPr>
          <w:b/>
          <w:i w:val="0"/>
        </w:rPr>
        <w:t>três</w:t>
      </w:r>
      <w:r>
        <w:rPr>
          <w:b w:val="0"/>
          <w:i w:val="0"/>
        </w:rPr>
        <w:t xml:space="preserve"> itens executados de forma diferente da declarada, e </w:t>
      </w:r>
      <w:r>
        <w:rPr>
          <w:b/>
          <w:i w:val="0"/>
        </w:rPr>
        <w:t>cinco</w:t>
      </w:r>
      <w:r>
        <w:rPr>
          <w:b w:val="0"/>
          <w:i w:val="0"/>
        </w:rPr>
        <w:t xml:space="preserve"> falhas de código que exigiram correção e reexecução. As três categorias são mantidas separadas de propósito: uma análise que não rodou por limite físico, uma que rodou de forma diferente e uma que quebrou e foi corrigida têm implicações distintas para a leitura dos resultados.</w:t>
      </w:r>
    </w:p>
    <w:p>
      <w:pPr>
        <w:jc w:val="both"/>
      </w:pPr>
      <w:r>
        <w:rPr>
          <w:b w:val="0"/>
          <w:i w:val="0"/>
          <w:sz w:val="21"/>
        </w:rPr>
        <w:t xml:space="preserve">Três dos testes aqui descritos foram acrescentados </w:t>
      </w:r>
      <w:r>
        <w:rPr>
          <w:b/>
          <w:i w:val="0"/>
          <w:sz w:val="21"/>
        </w:rPr>
        <w:t>após</w:t>
      </w:r>
      <w:r>
        <w:rPr>
          <w:b w:val="0"/>
          <w:i w:val="0"/>
          <w:sz w:val="21"/>
        </w:rPr>
        <w:t xml:space="preserve"> a observação dos primeiros resultados, mediante autorização registrada, e estão marcados como pós-hoc com data no pré-registro. Optamos por declará-lo no corpo do artigo, e não em nota de rodapé: em um trabalho cuja tese é a transparência metodológica, a procedência dos testes é material empírico. Os três só podiam reduzir a confiança nos resultados já obtidos, nunca aumentá-la.</w:t>
      </w:r>
    </w:p>
    <w:p>
      <w:pPr>
        <w:pStyle w:val="Heading2"/>
      </w:pPr>
      <w:r>
        <w:t>2.2 P1 — atividade antibacteriana (moléculas)</w:t>
      </w:r>
    </w:p>
    <w:p>
      <w:pPr>
        <w:jc w:val="both"/>
      </w:pPr>
      <w:r>
        <w:rPr>
          <w:b w:val="0"/>
          <w:i w:val="0"/>
        </w:rPr>
        <w:t xml:space="preserve">Conjunto derivado do ChEMBL, restrito a medidas de concentração inibitória mínima (MIC) contra </w:t>
      </w:r>
      <w:r>
        <w:rPr>
          <w:b w:val="0"/>
          <w:i/>
        </w:rPr>
        <w:t>S. aureus</w:t>
      </w:r>
      <w:r>
        <w:rPr>
          <w:b w:val="0"/>
          <w:i w:val="0"/>
        </w:rPr>
        <w:t>. O rótulo binário foi definido como ativo para MIC &lt;= 4 ug/mL e inativo para MIC &gt;= 16 ug/mL, exigindo no mínimo 2 medidas independentes por molécula e descartando a faixa intermediária. A escolha não é arbitrária: MIC é medida em diluições sucessivas por fator dois, e o valor 8 µg/mL é modal na distribuição, de modo que um corte posicionado exatamente nele classificaria como ativa uma grande massa de moléculas limítrofes. O conjunto final reúne 46001 moléculas.</w:t>
      </w:r>
    </w:p>
    <w:p>
      <w:pPr>
        <w:jc w:val="both"/>
      </w:pPr>
      <w:r>
        <w:rPr>
          <w:b w:val="0"/>
          <w:i w:val="0"/>
        </w:rPr>
        <w:t>Dez frentes de análise foram pré-declaradas, variando dado, representação e enquadramento do problema, e todas foram avaliadas com a mesma partição: cinco dobras agrupadas por arcabouço de Murcko. A partição aleatória foi calculada apenas como medida do vazamento — a diferença entre as duas — e nunca reportada como resultado.</w:t>
      </w:r>
    </w:p>
    <w:p>
      <w:pPr>
        <w:pStyle w:val="Heading2"/>
      </w:pPr>
      <w:r>
        <w:t>2.3 P2 — tuberculose e pneumonia (imagem)</w:t>
      </w:r>
    </w:p>
    <w:p>
      <w:pPr>
        <w:jc w:val="both"/>
      </w:pPr>
      <w:r>
        <w:rPr>
          <w:b w:val="0"/>
          <w:i w:val="0"/>
        </w:rPr>
        <w:t xml:space="preserve">Radiografias de tórax de três fontes públicas: dois conjuntos de tuberculose (Montgomery e Shenzhen, 800 imagens somadas) e um conjunto de pneumonia pediátrica (5856 imagens). Partição </w:t>
      </w:r>
      <w:r>
        <w:rPr>
          <w:b/>
          <w:i w:val="0"/>
        </w:rPr>
        <w:t>por paciente</w:t>
      </w:r>
      <w:r>
        <w:rPr>
          <w:b w:val="0"/>
          <w:i w:val="0"/>
        </w:rPr>
        <w:t xml:space="preserve"> em todos os casos. O ponto de partida principal foram pesos pré-treinados em radiografia de tórax; um segundo ponto de partida, pré-treinado em ImageNet, foi declarado antes da execução como comparação.</w:t>
      </w:r>
    </w:p>
    <w:p>
      <w:pPr>
        <w:pStyle w:val="Heading2"/>
      </w:pPr>
      <w:r>
        <w:t>2.4 P3 — sepse em terapia intensiva (série temporal)</w:t>
      </w:r>
    </w:p>
    <w:p>
      <w:pPr>
        <w:jc w:val="both"/>
      </w:pPr>
      <w:r>
        <w:rPr>
          <w:b w:val="0"/>
          <w:i w:val="0"/>
        </w:rPr>
        <w:t xml:space="preserve">Desafio público de sepse com 40.336 pacientes e 1.552.210 horas de internação, 127 variáveis derivadas. A predição é estritamente causal: cada linha horária utiliza apenas informação disponível até aquela hora, verificado empiricamente pela recomputação da linha após remoção de todo o futuro. Comparamos um modelo de </w:t>
      </w:r>
      <w:r>
        <w:rPr>
          <w:b w:val="0"/>
          <w:i/>
        </w:rPr>
        <w:t>gradient boosting</w:t>
      </w:r>
      <w:r>
        <w:rPr>
          <w:b w:val="0"/>
          <w:i w:val="0"/>
        </w:rPr>
        <w:t xml:space="preserve"> com uma rede recorrente.</w:t>
      </w:r>
    </w:p>
    <w:p>
      <w:pPr>
        <w:jc w:val="both"/>
      </w:pPr>
      <w:r>
        <w:rPr>
          <w:b w:val="0"/>
          <w:i w:val="0"/>
          <w:sz w:val="21"/>
        </w:rPr>
        <w:t>Desvio declarado: o pré-registro previa partição temporal, impossível neste conjunto por ausência de data de calendário. Em substituição, adotou-se causalidade estrita dentro da internação, partição por paciente e validação externa entre hospitais.</w:t>
      </w:r>
    </w:p>
    <w:p>
      <w:pPr>
        <w:pStyle w:val="Heading2"/>
      </w:pPr>
      <w:r>
        <w:t>2.5 A bateria de testes de falsificação</w:t>
      </w:r>
    </w:p>
    <w:p>
      <w:pPr>
        <w:jc w:val="both"/>
      </w:pPr>
      <w:r>
        <w:rPr>
          <w:b w:val="0"/>
          <w:i w:val="0"/>
        </w:rPr>
        <w:t>Cinco procedimentos, todos executáveis em CPU e sem retreinar modelos, exceto onde indicado:</w:t>
      </w:r>
    </w:p>
    <w:p>
      <w:pPr>
        <w:pStyle w:val="ListBullet"/>
      </w:pPr>
      <w:r>
        <w:t>Validação externa por fonte, nos dois sentidos. Treinar em cada fonte e testar na outra, reportando ambos. Um único sentido é selecionável: a magnitude da queda depende de qual fonte serviu de treino.</w:t>
      </w:r>
    </w:p>
    <w:p>
      <w:pPr>
        <w:pStyle w:val="ListBullet"/>
      </w:pPr>
      <w:r>
        <w:t>Oclusão anatômica. Aplicar o modelo já treinado a imagens com a região anatomicamente relevante suprimida. Desempenho preservado indica sinal externo à região de interesse.</w:t>
      </w:r>
    </w:p>
    <w:p>
      <w:pPr>
        <w:pStyle w:val="ListBullet"/>
      </w:pPr>
      <w:r>
        <w:t>Composição da lista de candidatos com teto de similaridade. Verificar, para cada candidato aprovado, a similaridade ao conjunto de treino e a classe química a que pertence. Um critério de domínio com piso mas sem teto útil admite análogos quase idênticos.</w:t>
      </w:r>
    </w:p>
    <w:p>
      <w:pPr>
        <w:pStyle w:val="ListBullet"/>
      </w:pPr>
      <w:r>
        <w:t>PR-AUC interpretada contra a prevalência. Em desfechos raros, ROC-AUC elevada é compatível com utilidade clínica baixa; a referência para PR-AUC é a prevalência, não 0,5.</w:t>
      </w:r>
    </w:p>
    <w:p>
      <w:pPr>
        <w:pStyle w:val="ListBullet"/>
      </w:pPr>
      <w:r>
        <w:t>Comparação pareada com intervalo de confiança por reamostragem da unidade de observação. Reamostrar pacientes, não imagens ou horas. O desvio entre dobras não é intervalo de confiança: as dobras são correlacionadas.</w:t>
      </w:r>
    </w:p>
    <w:p>
      <w:pPr>
        <w:pStyle w:val="Heading1"/>
      </w:pPr>
      <w:r>
        <w:t>3. Resultados</w:t>
      </w:r>
    </w:p>
    <w:p>
      <w:pPr>
        <w:pStyle w:val="Heading2"/>
      </w:pPr>
      <w:r>
        <w:t>3.1 P1 — positivo pela régua, redescoberta pelo conteúdo</w:t>
      </w:r>
    </w:p>
    <w:p>
      <w:pPr>
        <w:jc w:val="both"/>
      </w:pPr>
      <w:r>
        <w:rPr>
          <w:b w:val="0"/>
          <w:i w:val="0"/>
        </w:rPr>
        <w:t>As dez frentes produziram desempenho semelhante entre si (Tabela 1). O melhor resultado foi obtido por Fingerprints alternativos (ROC-AUC 0,8965); o baseline de similaridade de Tanimoto, que não envolve modelo algum, atingiu 0,8296 — diferença de 0,067. Representações aprendidas ficaram abaixo dos descritores convencionais: embeddings de transformador atingiram 0,8520 e a rede sobre grafo molecular 0,8762.</w:t>
      </w:r>
    </w:p>
    <w:p>
      <w:pPr>
        <w:jc w:val="left"/>
      </w:pPr>
      <w:r>
        <w:rPr>
          <w:b w:val="0"/>
          <w:i/>
          <w:sz w:val="20"/>
        </w:rPr>
        <w:t>Tabela 1. Desempenho das dez frentes pré-declaradas do P1. Partição por arcabouço de Murcko, cinco dobras, em todas.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18"/>
              </w:rPr>
              <w:t>#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Frente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ROC-AUC ± dp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PR-AUC ± dp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ChEMBL com rótulos limpos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0,8948 ± 0,0067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0,8985 ± 0,0089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CO-ADD (produtos naturais)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0,8840 ± 0,0296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0,2432 ± 0,0531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ChEMBL ampliado (outras unidades, MRSA)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0,8891 ± 0,0077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0,8967 ± 0,0035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Transfer learning antibacteriano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0,8832 ± 0,0105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0,8887 ± 0,0106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D-MPNN (chemprop)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0,8762 ± 0,0099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0,8767 ± 0,0145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Fingerprints alternativos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0,8965 ± 0,0055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0,9003 ± 0,0083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Embeddings ChemBERTa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0,8520 ± 0,0114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0,8623 ± 0,0146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Regressão de pMIC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0,8730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0,8785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Similaridade de Tanimoto (baseline)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0,8296 ± 0,0087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0,8044 ± 0,0155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10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Triagem restrita ao domínio (COCONUT)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—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—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9601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1_frentes_comparaca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0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 w:val="0"/>
          <w:i/>
          <w:sz w:val="20"/>
        </w:rPr>
        <w:t>Figura 1. Comparação das dez frentes do P1. O baseline sem modelo (frente 9) situa-se a 0,067 do melhor resultado.</w:t>
      </w:r>
    </w:p>
    <w:p>
      <w:pPr>
        <w:jc w:val="both"/>
      </w:pPr>
      <w:r>
        <w:rPr>
          <w:b w:val="0"/>
          <w:i w:val="0"/>
        </w:rPr>
        <w:t>A triagem de biblioteca de produtos naturais aplicou o filtro final pré-declarado, composto por três critérios simultâneos. O funil reduziu a biblioteca a 57 candidatos após escore e domínio; a aplicação do terceiro critério — arcabouço inédito em relação ao treino — reduziu a 17.</w:t>
      </w:r>
    </w:p>
    <w:p>
      <w:pPr>
        <w:jc w:val="both"/>
      </w:pPr>
      <w:r>
        <w:rPr>
          <w:b w:val="0"/>
          <w:i w:val="0"/>
        </w:rPr>
        <w:t>Pela regra declarada antes da execução, a existência de candidatos aprovados caracteriza resultado positivo. O exame da composição da lista, contudo, mostra outra coisa: 11 dos 17 candidatos pertencem a classes antibióticas conhecidas (macrolídeos, tiopeptídeos e aminoglicosídeo), a massa molecular varia de 479,5 a 1648,9 Da e o Tanimoto ao conjunto de treino tem mediana 0,832, chegando a 0,975 (Tabela 2).</w:t>
      </w:r>
    </w:p>
    <w:p>
      <w:pPr>
        <w:jc w:val="left"/>
      </w:pPr>
      <w:r>
        <w:rPr>
          <w:b w:val="0"/>
          <w:i/>
          <w:sz w:val="20"/>
        </w:rPr>
        <w:t>Tabela 2. Composição da lista de candidatos aprovados nos três critérios.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18"/>
              </w:rPr>
              <w:t>Probabilidade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Tanimoto ao treino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Massa (Da)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Classe reconhecida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0,9754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0,747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522,6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tiazol (tiopeptideo)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0,9613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0,857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835,0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0,9506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0,76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479,5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tiazol (tiopeptideo)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0,9473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0,975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580,8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aminoglicosideo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0,9309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0,901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1599,9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macrolideo (lactona 12+);tiazol (tiopeptideo)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0,9277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0,905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1368,6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macrolideo (lactona 12+);tiazol (tiopeptideo)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0,9263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0,878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922,1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macrolideo (lactona 12+)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0,9232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0,697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914,0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0,9224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0,839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564,4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0,9178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0,832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816,0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macrolideo (lactona 12+)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0,9178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0,832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816,0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macrolideo (lactona 12+)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0,9154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0,784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830,0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macrolideo (lactona 12+)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0,9062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0,783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886,0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0,9061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0,909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1648,9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macrolideo (lactona 12+);tiazol (tiopeptideo)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0,9048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0,761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842,0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macrolideo (lactona 12+)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0,9036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0,697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980,6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0,9017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0,863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562,8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</w:t>
            </w:r>
          </w:p>
        </w:tc>
      </w:tr>
    </w:tbl>
    <w:p/>
    <w:p>
      <w:pPr>
        <w:jc w:val="both"/>
      </w:pPr>
      <w:r>
        <w:rPr>
          <w:b w:val="0"/>
          <w:i w:val="0"/>
        </w:rPr>
        <w:t>A causa é identificável e corrigível: o critério de domínio de aplicabilidade possuía piso de similaridade, para excluir extrapolação, mas o teto estava posicionado em Tanimoto igual a 1,0 — isto é, apenas moléculas idênticas eram excluídas. Análogos próximos passam. Adicionalmente, o arcabouço de Murcko é descritor grosseiro para macrociclos: alteração pequena no anel gera arcabouço formalmente inédito com a molécula praticamente inalterada. O resultado é reportado com as duas leituras porque ambas são verdadeiras.</w:t>
      </w:r>
    </w:p>
    <w:p>
      <w:pPr>
        <w:pStyle w:val="Heading2"/>
      </w:pPr>
      <w:r>
        <w:t>3.2 P2 — um atalho detectado e um controle positivo preservado</w:t>
      </w:r>
    </w:p>
    <w:p>
      <w:pPr>
        <w:jc w:val="both"/>
      </w:pPr>
      <w:r>
        <w:rPr>
          <w:b w:val="0"/>
          <w:i w:val="0"/>
        </w:rPr>
        <w:t>A classificação de pneumonia atingiu ROC-AUC 0,9946 ± 0,0023 sobre 5856 imagens. Sob oclusão do campo pulmonar central, preservando apenas a moldura da imagem, o desempenho manteve-se em 0,8305. A informação que sustenta o resultado não está, em proporção relevante, no pulmão.</w:t>
      </w:r>
    </w:p>
    <w:p>
      <w:pPr>
        <w:jc w:val="both"/>
      </w:pPr>
      <w:r>
        <w:rPr>
          <w:b w:val="0"/>
          <w:i w:val="0"/>
        </w:rPr>
        <w:t>A classificação de tuberculose comportou-se de modo oposto: ROC-AUC 0,9078 ± 0,0356 intra-fonte, caindo para 0,6566 sob a mesma oclusão. Sensibilidade e especificidade no ponto de Youden foram 0,799 e 0,889.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2624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shoc_atalho_pulma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6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 w:val="0"/>
          <w:i/>
          <w:sz w:val="20"/>
        </w:rPr>
        <w:t>Figura 2. Teste de oclusão. A barra inferior de cada tarefa mostra o desempenho com o campo pulmonar suprimido. A pneumonia preserva 0,8305; a tuberculose cai para 0,6566.</w:t>
      </w:r>
    </w:p>
    <w:p>
      <w:pPr>
        <w:jc w:val="both"/>
      </w:pPr>
      <w:r>
        <w:rPr>
          <w:b w:val="0"/>
          <w:i w:val="0"/>
        </w:rPr>
        <w:t xml:space="preserve">A validação externa da tuberculose revelou queda </w:t>
      </w:r>
      <w:r>
        <w:rPr>
          <w:b/>
          <w:i w:val="0"/>
        </w:rPr>
        <w:t>assimétrica</w:t>
      </w:r>
      <w:r>
        <w:rPr>
          <w:b w:val="0"/>
          <w:i w:val="0"/>
        </w:rPr>
        <w:t xml:space="preserve"> (Tabela 3): treinar na fonte maior e testar na menor custa substancialmente menos do que o percurso inverso. A média dos dois sentidos é 0,8145, com queda média de -0,0934 em relação à avaliação intra-fonte. Reportar um único sentido produziria conclusões opostas conforme a escolha.</w:t>
      </w:r>
    </w:p>
    <w:p>
      <w:pPr>
        <w:jc w:val="left"/>
      </w:pPr>
      <w:r>
        <w:rPr>
          <w:b w:val="0"/>
          <w:i/>
          <w:sz w:val="20"/>
        </w:rPr>
        <w:t>Tabela 3. Validação externa cruzada da tuberculose, nos dois sentidos.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  <w:sz w:val="18"/>
              </w:rPr>
              <w:t>Condição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8"/>
              </w:rPr>
              <w:t>n (teste)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8"/>
              </w:rPr>
              <w:t>ROC-AUC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8"/>
              </w:rPr>
              <w:t>PR-AUC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8"/>
              </w:rPr>
              <w:t>Queda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Intra-fonte (5 dobras por paciente)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800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0,9078 ± 0,0356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0,9124 ± 0,0347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—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Treina montgomery → testa shenzhen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662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0,7681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0,7543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-0,1397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Treina shenzhen → testa montgomery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138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0,8608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0,8265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-0,0470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Média dos dois sentidos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0,8145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-0,0934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73554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2_validacao_extern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5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 w:val="0"/>
          <w:i/>
          <w:sz w:val="20"/>
        </w:rPr>
        <w:t>Figura 3. Queda de desempenho por mudança de fonte, tuberculose.</w:t>
      </w:r>
    </w:p>
    <w:p>
      <w:pPr>
        <w:jc w:val="both"/>
      </w:pPr>
      <w:r>
        <w:rPr>
          <w:b w:val="0"/>
          <w:i w:val="0"/>
        </w:rPr>
        <w:t xml:space="preserve">Duas verificações adicionais qualificam esse resultado. A primeira é desfavorável: um classificador que utiliza exclusivamente estatísticas brutas de imagem — brilho e dimensões — distingue as fontes com ROC-AUC 1,000 e prevê o próprio rótulo de tuberculose com 0,7599. Existe, portanto, sinal de aquisição disponível. A segunda é favorável e responde à primeira: o desempenho calculado </w:t>
      </w:r>
      <w:r>
        <w:rPr>
          <w:b/>
          <w:i w:val="0"/>
        </w:rPr>
        <w:t>dentro de cada fonte separadamente</w:t>
      </w:r>
      <w:r>
        <w:rPr>
          <w:b w:val="0"/>
          <w:i w:val="0"/>
        </w:rPr>
        <w:t>, sobre as predições fora da dobra, permanece elevado. Como a fonte é constante dentro de cada subconjunto, esses valores não podem ser atribuídos a sinal de aquisição.</w:t>
      </w:r>
    </w:p>
    <w:p>
      <w:pPr>
        <w:jc w:val="left"/>
      </w:pPr>
      <w:r>
        <w:rPr>
          <w:b w:val="0"/>
          <w:i/>
          <w:sz w:val="20"/>
        </w:rPr>
        <w:t>Tabela 4. Desempenho intra-fonte, calculado separadamente por conjunto.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18"/>
              </w:rPr>
              <w:t>Fonte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n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Taxa base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ROC-AUC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montgomery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138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0,420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0,9304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shenzhen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662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0,508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0,9005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67752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2_tb_cv_matriz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7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 w:val="0"/>
          <w:i/>
          <w:sz w:val="20"/>
        </w:rPr>
        <w:t>Figura 4. Matriz de confusão da tuberculose no ponto de Youden (sensibilidade 0,799, especificidade 0,889).</w:t>
      </w:r>
    </w:p>
    <w:p>
      <w:pPr>
        <w:jc w:val="both"/>
      </w:pPr>
      <w:r>
        <w:rPr>
          <w:b w:val="0"/>
          <w:i w:val="0"/>
        </w:rPr>
        <w:t>A comparação entre os dois pontos de partida inverte-se conforme a pergunta (Tabela 5). Na avaliação intra-fonte, a comparação pareada indica vantagem dos pesos de ImageNet, com intervalo de confiança que não contém zero. Na validação externa, a média favorece os pesos pré-treinados em radiografia. Não há resposta única para “qual pré-treino é melhor”: há duas respostas, para duas perguntas diferentes.</w:t>
      </w:r>
    </w:p>
    <w:p>
      <w:pPr>
        <w:jc w:val="left"/>
      </w:pPr>
      <w:r>
        <w:rPr>
          <w:b w:val="0"/>
          <w:i/>
          <w:sz w:val="20"/>
        </w:rPr>
        <w:t>Tabela 5. Pontos de partida comparados, por tipo de avaliação.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18"/>
              </w:rPr>
              <w:t>Avaliação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Pesos de raio-X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Pesos ImageNet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Quem vence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Intra-fonte (5 dobras)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0,9078 ± 0,0356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0,9296 ± 0,0241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ImageNet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Externa: treina montgomery → testa shenzhen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0,7681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0,8057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ImageNet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Externa: treina shenzhen → testa montgomery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0,8608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0,7798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raio-X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Externa (média)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0,8145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0,7928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raio-X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09129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shoc_paread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1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 w:val="0"/>
          <w:i/>
          <w:sz w:val="20"/>
        </w:rPr>
        <w:t>Figura 5. Diferença pareada entre pontos de partida, com intervalo de confiança por reamostragem de pacientes. Válida para a avaliação intra-fonte.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15668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shoc_i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 w:val="0"/>
          <w:i/>
          <w:sz w:val="20"/>
        </w:rPr>
        <w:t>Figura 6. Intervalos de confiança por reamostragem de pacientes (2000 reamostragens).</w:t>
      </w:r>
    </w:p>
    <w:p>
      <w:pPr>
        <w:pStyle w:val="Heading2"/>
      </w:pPr>
      <w:r>
        <w:t>3.3 P3 — discriminação aparente e utilidade limitada</w:t>
      </w:r>
    </w:p>
    <w:p>
      <w:pPr>
        <w:jc w:val="both"/>
      </w:pPr>
      <w:r>
        <w:rPr>
          <w:b w:val="0"/>
          <w:i w:val="0"/>
        </w:rPr>
        <w:t xml:space="preserve">O modelo de </w:t>
      </w:r>
      <w:r>
        <w:rPr>
          <w:b w:val="0"/>
          <w:i/>
        </w:rPr>
        <w:t>gradient boosting</w:t>
      </w:r>
      <w:r>
        <w:rPr>
          <w:b w:val="0"/>
          <w:i w:val="0"/>
        </w:rPr>
        <w:t xml:space="preserve"> atingiu ROC-AUC 0,8450 com PR-AUC 0,1137 (Tabela 6). A prevalência horária do desfecho é 1,80%, de modo que um classificador aleatório teria PR-AUC igual a essa proporção: o modelo situa-se aproximadamente 6,3 vezes acima do acaso — resultado real, porém muito distante do que a ROC-AUC sugere isoladamente. A rede recorrente, executada em unidade de processamento gráfico, ficou abaixo do baseline em ambas as métricas.</w:t>
      </w:r>
    </w:p>
    <w:p>
      <w:pPr>
        <w:jc w:val="left"/>
      </w:pPr>
      <w:r>
        <w:rPr>
          <w:b w:val="0"/>
          <w:i/>
          <w:sz w:val="20"/>
        </w:rPr>
        <w:t>Tabela 6. Desempenho na predição de sepse.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18"/>
              </w:rPr>
              <w:t>Modelo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ROC-AUC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PR-AUC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ECE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gradient boosting (CPU)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0,8450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0,1137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0,0032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LSTM temporal (GPU)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0,7741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0,0829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0,1920</w:t>
            </w:r>
          </w:p>
        </w:tc>
      </w:tr>
    </w:tbl>
    <w:p/>
    <w:p>
      <w:pPr>
        <w:jc w:val="both"/>
      </w:pPr>
      <w:r>
        <w:rPr>
          <w:b w:val="0"/>
          <w:i w:val="0"/>
        </w:rPr>
        <w:t>Na validação externa entre hospitais, o desempenho caiu para 0,7456 (hospital A → hospital B) e 0,7693 (hospital B → hospital A). A antecedência mediana do alerta foi de 38 horas; esse valor, entretanto, descreve apenas os pacientes alertados. Para 691 dos 2932 pacientes que desenvolveram sepse (23,6%), o modelo não emitiu alerta algum no limiar operacional adotado. Antecedência calculada sobre o subconjunto alertado é métrica incompleta quando reportada sem a cobertura.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82892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3_gbm_roc_p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8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 w:val="0"/>
          <w:i/>
          <w:sz w:val="20"/>
        </w:rPr>
        <w:t>Figura 7. Curvas ROC e de precisão-sensibilidade para a predição de sepse. A distância entre as duas ilustra o efeito da prevalência baixa.</w:t>
      </w:r>
    </w:p>
    <w:p>
      <w:pPr>
        <w:pStyle w:val="Heading2"/>
      </w:pPr>
      <w:r>
        <w:t>3.4 Síntese</w:t>
      </w:r>
    </w:p>
    <w:p>
      <w:pPr>
        <w:jc w:val="both"/>
      </w:pPr>
      <w:r>
        <w:rPr>
          <w:b w:val="0"/>
          <w:i w:val="0"/>
        </w:rPr>
        <w:t>A Tabela 7 reúne, para cada projeto, o maior número obtido, o teste que o confrontou e o que restou depois dele.</w:t>
      </w:r>
    </w:p>
    <w:p>
      <w:pPr>
        <w:jc w:val="left"/>
      </w:pPr>
      <w:r>
        <w:rPr>
          <w:b w:val="0"/>
          <w:i/>
          <w:sz w:val="20"/>
        </w:rPr>
        <w:t>Tabela 7. Síntese: o maior número, o teste de derrubada e o resultado.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  <w:sz w:val="18"/>
              </w:rPr>
              <w:t>Projeto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8"/>
              </w:rPr>
              <w:t>Maior número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8"/>
              </w:rPr>
              <w:t>Teste de derrubada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8"/>
              </w:rPr>
              <w:t>Depois do teste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8"/>
              </w:rPr>
              <w:t>Veredito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P1 — moléculas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17 candidatos nos 3 critérios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Composição da lista curta (classe química e similaridade ao treino)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11 de 17 são classes antibióticas conhecidas; Tanimoto mediano 0,832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Redescoberta, não descoberta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P2 — pneumonia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ROC-AUC 0,9946 ± 0,0023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Oclusão do campo pulmonar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ROC-AUC 0,8305 apenas com a moldura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Atalho: número invalidado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P2 — tuberculose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ROC-AUC 0,9078 ± 0,0356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Oclusão + validação externa nos dois sentidos + IC por paciente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Cai para 0,6566 sob oclusão; externa média 0,8145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CONTROLE POSITIVO: sobrevive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P3 — sepse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ROC-AUC 0,8450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PR-AUC contra a prevalência + externa entre hospitais + cobertura do alerta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PR-AUC 0,1137 (acaso 0,018); 691 de 2932 sem alerta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Modesto; o temporal perdeu do baseline</w:t>
            </w:r>
          </w:p>
        </w:tc>
      </w:tr>
    </w:tbl>
    <w:p/>
    <w:p>
      <w:pPr>
        <w:jc w:val="both"/>
      </w:pPr>
      <w:r>
        <w:rPr>
          <w:b w:val="0"/>
          <w:i w:val="0"/>
        </w:rPr>
        <w:t>Em nenhum dos três projetos o maior número foi o resultado mais confiável. A tuberculose, que apresenta número intermediário, é o único caso que atravessa todos os testes aplicados — e é por isso que funciona como controle positivo da bateria.</w:t>
      </w:r>
    </w:p>
    <w:p>
      <w:pPr>
        <w:pStyle w:val="Heading1"/>
      </w:pPr>
      <w:r>
        <w:t>4. Discussão</w:t>
      </w:r>
    </w:p>
    <w:p>
      <w:pPr>
        <w:jc w:val="both"/>
      </w:pPr>
      <w:r>
        <w:rPr>
          <w:b/>
          <w:i w:val="0"/>
        </w:rPr>
        <w:t>Por que o número engana.</w:t>
      </w:r>
      <w:r>
        <w:rPr>
          <w:b w:val="0"/>
          <w:i w:val="0"/>
        </w:rPr>
        <w:t xml:space="preserve"> Métricas de discriminação medem separabilidade no conjunto avaliado, não a validade do mecanismo que a produz. Quando existe variável correlacionada ao desfecho e mais fácil de aprender que o fenômeno — características de aquisição, prevalência distinta entre fontes, proximidade química ao conjunto de treino —, o modelo a utiliza. A métrica registra o sucesso; não registra a razão.</w:t>
      </w:r>
    </w:p>
    <w:p>
      <w:pPr>
        <w:jc w:val="both"/>
      </w:pPr>
      <w:r>
        <w:rPr>
          <w:b/>
          <w:i w:val="0"/>
        </w:rPr>
        <w:t>Validação externa de um só sentido também é selecionável.</w:t>
      </w:r>
      <w:r>
        <w:rPr>
          <w:b w:val="0"/>
          <w:i w:val="0"/>
        </w:rPr>
        <w:t xml:space="preserve"> O achado de assimetria tem consequência prática direta: ao dispor de duas fontes, há duas validações externas possíveis, e a diferença entre elas foi, neste trabalho, da ordem de três vezes. Reportar apenas a mais favorável é uma forma de seleção que passa despercebida porque a validação externa já é vista como prática conservadora. Recomendamos reportar ambos os sentidos sempre que houver duas ou mais fontes.</w:t>
      </w:r>
    </w:p>
    <w:p>
      <w:pPr>
        <w:jc w:val="both"/>
      </w:pPr>
      <w:r>
        <w:rPr>
          <w:b/>
          <w:i w:val="0"/>
        </w:rPr>
        <w:t>Conclusões dependem da pergunta.</w:t>
      </w:r>
      <w:r>
        <w:rPr>
          <w:b w:val="0"/>
          <w:i w:val="0"/>
        </w:rPr>
        <w:t xml:space="preserve"> A inversão observada entre pontos de partida ilustra que “melhor” não é propriedade do modelo, e sim da combinação entre modelo e regime de avaliação. Um trabalho que reportasse apenas a avaliação intra-fonte concluiria o oposto de um que reportasse apenas a externa, ambos corretos no que mediram.</w:t>
      </w:r>
    </w:p>
    <w:p>
      <w:pPr>
        <w:jc w:val="both"/>
      </w:pPr>
      <w:r>
        <w:rPr>
          <w:b/>
          <w:i w:val="0"/>
        </w:rPr>
        <w:t>A bateria é barata e portátil.</w:t>
      </w:r>
      <w:r>
        <w:rPr>
          <w:b w:val="0"/>
          <w:i w:val="0"/>
        </w:rPr>
        <w:t xml:space="preserve"> Nenhum dos cinco procedimentos exigiu retreinamento; a oclusão reutiliza pesos já ajustados, os intervalos de confiança e a comparação pareada operam sobre predições já registradas, e a verificação de composição da lista é consulta a descritores. O custo é desprezível diante do treinamento que os precedeu. A condição prática é arquivar as </w:t>
      </w:r>
      <w:r>
        <w:rPr>
          <w:b/>
          <w:i w:val="0"/>
        </w:rPr>
        <w:t>predições brutas</w:t>
      </w:r>
      <w:r>
        <w:rPr>
          <w:b w:val="0"/>
          <w:i w:val="0"/>
        </w:rPr>
        <w:t xml:space="preserve"> — identificador da unidade de observação, rótulo, probabilidade e fonte —, pois de métricas agregadas não se reconstrói incerteza.</w:t>
      </w:r>
    </w:p>
    <w:p>
      <w:pPr>
        <w:jc w:val="both"/>
      </w:pPr>
      <w:r>
        <w:rPr>
          <w:b/>
          <w:i w:val="0"/>
        </w:rPr>
        <w:t>O controle positivo é parte da contribuição.</w:t>
      </w:r>
      <w:r>
        <w:rPr>
          <w:b w:val="0"/>
          <w:i w:val="0"/>
        </w:rPr>
        <w:t xml:space="preserve"> Uma bateria que reprovasse os três casos seria indistinguível de uma bateria mal calibrada. O caso da tuberculose demonstra que os procedimentos preservam resultado sustentado por sinal legítimo, e é o que autoriza interpretar as reprovações como informativas.</w:t>
      </w:r>
    </w:p>
    <w:p>
      <w:pPr>
        <w:pStyle w:val="Heading1"/>
      </w:pPr>
      <w:r>
        <w:t>5. Limitações</w:t>
      </w:r>
    </w:p>
    <w:p>
      <w:pPr>
        <w:pStyle w:val="ListBullet"/>
      </w:pPr>
      <w:r>
        <w:t>Equipe única, sem replicação independente das análises. Os testes foram concebidos e executados pelo mesmo autor que produziu os modelos.</w:t>
      </w:r>
    </w:p>
    <w:p>
      <w:pPr>
        <w:pStyle w:val="ListBullet"/>
      </w:pPr>
      <w:r>
        <w:t>Conjuntos públicos e de tamanho modesto, notadamente uma das fontes de tuberculose com n reduzido, o que amplia a incerteza das estimativas por fonte.</w:t>
      </w:r>
    </w:p>
    <w:p>
      <w:pPr>
        <w:pStyle w:val="ListBullet"/>
      </w:pPr>
      <w:r>
        <w:t>A bateria não é exaustiva: não contempla, por exemplo, análise de saliência, auditoria de subgrupos demográficos completos nem validação prospectiva.</w:t>
      </w:r>
    </w:p>
    <w:p>
      <w:pPr>
        <w:pStyle w:val="ListBullet"/>
      </w:pPr>
      <w:r>
        <w:t>Ausência de validação in vitro para os candidatos moleculares e de validação prospectiva para os modelos clínicos. Nenhum resultado aqui autoriza uso clínico ou seleção de compostos para bancada.</w:t>
      </w:r>
    </w:p>
    <w:p>
      <w:pPr>
        <w:pStyle w:val="ListBullet"/>
      </w:pPr>
      <w:r>
        <w:t>O terceiro critério do filtro molecular foi aplicado após inspeção dos resultados intermediários, ao constatar-se que não havia sido implementado na etapa original. A correção está relatada como tal, e o veredito só foi formulado depois dela.</w:t>
      </w:r>
    </w:p>
    <w:p>
      <w:pPr>
        <w:pStyle w:val="ListBullet"/>
      </w:pPr>
      <w:r>
        <w:t>Três dos testes da bateria são pós-hoc, conforme declarado na seção 2.1.</w:t>
      </w:r>
    </w:p>
    <w:p>
      <w:pPr>
        <w:pStyle w:val="Heading1"/>
      </w:pPr>
      <w:r>
        <w:t>6. Conclusão</w:t>
      </w:r>
    </w:p>
    <w:p>
      <w:pPr>
        <w:jc w:val="both"/>
      </w:pPr>
      <w:r>
        <w:rPr>
          <w:b w:val="0"/>
          <w:i w:val="0"/>
        </w:rPr>
        <w:t>Em três projetos independentes, de modalidades distintas, o maior número de desempenho e o resultado mais confiável não coincidiram. Uma bateria mínima de cinco testes de falsificação, executável em CPU e sem retreinamento, identificou um atalho que invalidava a alegação mais forte do conjunto, caracterizou como redescoberta uma lista de candidatos formalmente aprovada, dimensionou a utilidade real de um preditor clínico aparentemente competente e preservou um resultado legítimo.</w:t>
      </w:r>
    </w:p>
    <w:p>
      <w:pPr>
        <w:jc w:val="both"/>
      </w:pPr>
      <w:r>
        <w:rPr>
          <w:b w:val="0"/>
          <w:i w:val="0"/>
        </w:rPr>
        <w:t>Propomos que alegações de desempenho em aprendizado de máquina aplicado à saúde passem a incluir, como requisito mínimo: validação externa reportada em todos os sentidos disponíveis; ao menos um teste de ablação ou oclusão dirigido ao mecanismo; métricas sensíveis à prevalência quando o desfecho for raro; intervalos de confiança por reamostragem da unidade de observação; e publicação dos testes que falharam, com o mesmo destaque dos que confirmaram.</w:t>
      </w:r>
    </w:p>
    <w:p>
      <w:pPr>
        <w:pStyle w:val="Heading1"/>
      </w:pPr>
      <w:r>
        <w:t>Referências</w:t>
      </w:r>
    </w:p>
    <w:p>
      <w:pPr>
        <w:jc w:val="both"/>
      </w:pPr>
      <w:r>
        <w:rPr>
          <w:b w:val="0"/>
          <w:i w:val="0"/>
          <w:sz w:val="21"/>
        </w:rPr>
        <w:t xml:space="preserve">Lista preliminar — </w:t>
      </w:r>
      <w:r>
        <w:rPr>
          <w:b/>
          <w:i w:val="0"/>
          <w:sz w:val="21"/>
        </w:rPr>
        <w:t>conferir antes de submeter</w:t>
      </w:r>
      <w:r>
        <w:rPr>
          <w:b w:val="0"/>
          <w:i w:val="0"/>
          <w:sz w:val="21"/>
        </w:rPr>
        <w:t>. As referências abaixo indicam a literatura pertinente aos conceitos empregados e precisam ser verificadas quanto a autoria, ano, veículo e paginação, além de ajustadas ao formato exigido pelo periódico escolhido.</w:t>
      </w:r>
    </w:p>
    <w:p>
      <w:pPr>
        <w:pStyle w:val="ListNumber"/>
      </w:pPr>
      <w:r>
        <w:t>Literatura sobre aprendizado de atalho em redes neurais profundas e suas manifestações em imagem médica.</w:t>
      </w:r>
    </w:p>
    <w:p>
      <w:pPr>
        <w:pStyle w:val="ListNumber"/>
      </w:pPr>
      <w:r>
        <w:t>Estudos sobre identificação da instituição de origem a partir de radiografias e suas implicações para generalização.</w:t>
      </w:r>
    </w:p>
    <w:p>
      <w:pPr>
        <w:pStyle w:val="ListNumber"/>
      </w:pPr>
      <w:r>
        <w:t>Revisões sobre vazamento de dados e reprodutibilidade em aprendizado de máquina aplicado à saúde.</w:t>
      </w:r>
    </w:p>
    <w:p>
      <w:pPr>
        <w:pStyle w:val="ListNumber"/>
      </w:pPr>
      <w:r>
        <w:t>Trabalhos sobre domínio de aplicabilidade em modelagem quantitativa estrutura-atividade.</w:t>
      </w:r>
    </w:p>
    <w:p>
      <w:pPr>
        <w:pStyle w:val="ListNumber"/>
      </w:pPr>
      <w:r>
        <w:t>Diretrizes de relato para modelos de predição clínica (TRIPOD e extensões para inteligência artificial).</w:t>
      </w:r>
    </w:p>
    <w:p>
      <w:pPr>
        <w:pStyle w:val="ListNumber"/>
      </w:pPr>
      <w:r>
        <w:t>Metodologia de intervalos de confiança por reamostragem para métricas de discriminação com observações agrupadas.</w:t>
      </w:r>
    </w:p>
    <w:p>
      <w:pPr>
        <w:pStyle w:val="ListNumber"/>
      </w:pPr>
      <w:r>
        <w:t>Discussão sobre PR-AUC e sua interpretação sob prevalência baixa.</w:t>
      </w:r>
    </w:p>
    <w:p>
      <w:pPr>
        <w:pStyle w:val="ListNumber"/>
      </w:pPr>
      <w:r>
        <w:t>Descrições dos conjuntos públicos utilizados nas três modalidades.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